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4D" w:rsidRPr="0014495B" w:rsidRDefault="0088104D" w:rsidP="00D509B6">
      <w:pPr>
        <w:rPr>
          <w:b/>
          <w:sz w:val="72"/>
          <w:szCs w:val="72"/>
        </w:rPr>
      </w:pPr>
      <w:r w:rsidRPr="0014495B">
        <w:rPr>
          <w:b/>
          <w:sz w:val="48"/>
          <w:szCs w:val="48"/>
        </w:rPr>
        <w:t xml:space="preserve">                    </w:t>
      </w:r>
      <w:r w:rsidR="004921F7" w:rsidRPr="0014495B">
        <w:rPr>
          <w:b/>
          <w:sz w:val="72"/>
          <w:szCs w:val="72"/>
        </w:rPr>
        <w:t xml:space="preserve">KOMUNIKAT DLA PRACOWNIKÓW </w:t>
      </w:r>
    </w:p>
    <w:p w:rsidR="00F563FD" w:rsidRPr="0014495B" w:rsidRDefault="0088104D" w:rsidP="00D509B6">
      <w:pPr>
        <w:rPr>
          <w:b/>
          <w:sz w:val="72"/>
          <w:szCs w:val="72"/>
        </w:rPr>
      </w:pPr>
      <w:r w:rsidRPr="0014495B">
        <w:rPr>
          <w:b/>
          <w:sz w:val="72"/>
          <w:szCs w:val="72"/>
        </w:rPr>
        <w:t xml:space="preserve">                          </w:t>
      </w:r>
      <w:r w:rsidR="00E53423" w:rsidRPr="0014495B">
        <w:rPr>
          <w:b/>
          <w:sz w:val="72"/>
          <w:szCs w:val="72"/>
        </w:rPr>
        <w:t>CASTORAMA POLSKA</w:t>
      </w:r>
    </w:p>
    <w:p w:rsidR="0088104D" w:rsidRPr="0014495B" w:rsidRDefault="0088104D" w:rsidP="0088104D">
      <w:pPr>
        <w:ind w:firstLine="708"/>
        <w:jc w:val="center"/>
        <w:rPr>
          <w:b/>
        </w:rPr>
      </w:pPr>
    </w:p>
    <w:p w:rsidR="00D46F0B" w:rsidRPr="0014495B" w:rsidRDefault="000556BB" w:rsidP="00D46F0B">
      <w:pPr>
        <w:ind w:firstLine="708"/>
        <w:jc w:val="center"/>
        <w:rPr>
          <w:b/>
          <w:sz w:val="24"/>
          <w:szCs w:val="24"/>
        </w:rPr>
      </w:pPr>
      <w:r w:rsidRPr="0014495B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748665</wp:posOffset>
            </wp:positionV>
            <wp:extent cx="8200390" cy="3228975"/>
            <wp:effectExtent l="209550" t="590550" r="200660" b="600075"/>
            <wp:wrapNone/>
            <wp:docPr id="2" name="Obraz 2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F0B" w:rsidRPr="0014495B">
        <w:rPr>
          <w:b/>
          <w:sz w:val="24"/>
          <w:szCs w:val="24"/>
        </w:rPr>
        <w:t xml:space="preserve">Szanowne Koleżanki i szanowni Koledzy , Pracownicy Castorama Polska Sp. z o.o. </w:t>
      </w:r>
    </w:p>
    <w:p w:rsidR="004D5A30" w:rsidRPr="0014495B" w:rsidRDefault="00D46F0B" w:rsidP="00D46F0B">
      <w:pPr>
        <w:ind w:firstLine="708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 xml:space="preserve">W związku z pojawiającymi się informacjami obwiniającymi naszą Organizację za powstałą sytuację z Zakładowym Funduszem Świadczeń Socjalnych , Komisja Zakładowa NSZZ „Solidarność” w Castorama Polska Sp. z o.o. </w:t>
      </w:r>
      <w:r w:rsidR="002920A0" w:rsidRPr="0014495B">
        <w:rPr>
          <w:b/>
          <w:sz w:val="24"/>
          <w:szCs w:val="24"/>
        </w:rPr>
        <w:t xml:space="preserve">informuje, że nie jest odpowiedzialna za zaistniały stan faktyczny. Przekazywane Wam informacje są próbą dyskredytacji i oczerniania naszej Organizacji. Ostatnią taką informacją jest komunikat Dyrektora ds. Personalnych i Odpowiedzialności Społecznej z dnia 3 stycznia 2019r. w sprawie której Pan Dyrektor otrzymał wezwanie do sprostowania tej nieprawdziwej i wprowadzającej w błąd informacji. W przypadku braku sprostowania sprawę skierujemy do sądu. </w:t>
      </w:r>
    </w:p>
    <w:p w:rsidR="00A55A20" w:rsidRPr="0014495B" w:rsidRDefault="00A55A20" w:rsidP="00DB5D9F">
      <w:pPr>
        <w:pStyle w:val="NormalnyWeb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>W celu zapoznania się szczegółowo z przebiegiem rozmów i okoliczności zapraszamy do odwiedzenia naszego profilu na Facebooku    (</w:t>
      </w:r>
      <w:r w:rsidRPr="0014495B">
        <w:rPr>
          <w:b/>
          <w:sz w:val="24"/>
          <w:szCs w:val="24"/>
        </w:rPr>
        <w:t> </w:t>
      </w:r>
      <w:hyperlink r:id="rId5" w:tgtFrame="_blank" w:history="1">
        <w:r w:rsidRPr="0014495B">
          <w:rPr>
            <w:rStyle w:val="Hipercze"/>
            <w:b/>
            <w:sz w:val="24"/>
            <w:szCs w:val="24"/>
          </w:rPr>
          <w:t>https://www.facebook.com/solidarnosc.castorama</w:t>
        </w:r>
      </w:hyperlink>
      <w:r w:rsidRPr="0014495B">
        <w:rPr>
          <w:b/>
          <w:sz w:val="24"/>
          <w:szCs w:val="24"/>
        </w:rPr>
        <w:t xml:space="preserve"> ) lub naszej strony ( </w:t>
      </w:r>
      <w:hyperlink r:id="rId6" w:history="1">
        <w:r w:rsidRPr="0014495B">
          <w:rPr>
            <w:rStyle w:val="Hipercze"/>
            <w:b/>
            <w:sz w:val="24"/>
            <w:szCs w:val="24"/>
          </w:rPr>
          <w:t>http://solidarnosc-castorama.pl/</w:t>
        </w:r>
      </w:hyperlink>
      <w:r w:rsidRPr="0014495B">
        <w:rPr>
          <w:b/>
          <w:sz w:val="24"/>
          <w:szCs w:val="24"/>
        </w:rPr>
        <w:t xml:space="preserve"> </w:t>
      </w:r>
      <w:r w:rsidR="00DB5D9F" w:rsidRPr="0014495B">
        <w:rPr>
          <w:b/>
          <w:sz w:val="24"/>
          <w:szCs w:val="24"/>
        </w:rPr>
        <w:t>) gdzie przedstawiamy i opisujemy szczegółowo sytuację związaną z ZFŚS.</w:t>
      </w:r>
    </w:p>
    <w:p w:rsidR="00CA706D" w:rsidRPr="0014495B" w:rsidRDefault="00DB5D9F" w:rsidP="00DB5D9F">
      <w:pPr>
        <w:pStyle w:val="NormalnyWeb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 xml:space="preserve">Wyjaśniając sytuację z Benefitem a szczególnie z kartami </w:t>
      </w:r>
      <w:proofErr w:type="spellStart"/>
      <w:r w:rsidRPr="0014495B">
        <w:rPr>
          <w:b/>
          <w:sz w:val="24"/>
          <w:szCs w:val="24"/>
        </w:rPr>
        <w:t>MultiSport</w:t>
      </w:r>
      <w:proofErr w:type="spellEnd"/>
      <w:r w:rsidRPr="0014495B">
        <w:rPr>
          <w:b/>
          <w:sz w:val="24"/>
          <w:szCs w:val="24"/>
        </w:rPr>
        <w:t xml:space="preserve"> informujemy, że nie wiemy dlaczego karty obecnie nie działają, nie posiadamy również wiedzy </w:t>
      </w:r>
      <w:r w:rsidR="00CA706D" w:rsidRPr="0014495B">
        <w:rPr>
          <w:b/>
          <w:sz w:val="24"/>
          <w:szCs w:val="24"/>
        </w:rPr>
        <w:t>dlaczego punkty z Benefitu przepadły z dniem 6 a nie 31 grudnia.</w:t>
      </w:r>
      <w:r w:rsidRPr="0014495B">
        <w:rPr>
          <w:b/>
          <w:sz w:val="24"/>
          <w:szCs w:val="24"/>
        </w:rPr>
        <w:t xml:space="preserve"> To Pracodawca jest odpowiedzialny za współpracę z Benefitem. Warto wspomnieć, że Pracodawca w swoim piśmie z dnia 3 stycznia 2019r. zapewnił</w:t>
      </w:r>
      <w:r w:rsidR="0014495B">
        <w:rPr>
          <w:b/>
          <w:sz w:val="24"/>
          <w:szCs w:val="24"/>
        </w:rPr>
        <w:t>,</w:t>
      </w:r>
      <w:bookmarkStart w:id="0" w:name="_GoBack"/>
      <w:bookmarkEnd w:id="0"/>
      <w:r w:rsidRPr="0014495B">
        <w:rPr>
          <w:b/>
          <w:sz w:val="24"/>
          <w:szCs w:val="24"/>
        </w:rPr>
        <w:t xml:space="preserve"> że karty będą działały do końca stycznia ! </w:t>
      </w:r>
    </w:p>
    <w:p w:rsidR="00DB5D9F" w:rsidRPr="0014495B" w:rsidRDefault="00CA706D" w:rsidP="00DB5D9F">
      <w:pPr>
        <w:pStyle w:val="NormalnyWeb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 xml:space="preserve">Na dzień dzisiejszy na koncie Benefitu pozostały środki niewykorzystane z zeszłego roku, w związku z tym w przypadku braku porozumienia o które zabiegamy, zaproponowaliśmy uruchomienie </w:t>
      </w:r>
      <w:r w:rsidR="00DB5D9F" w:rsidRPr="0014495B">
        <w:rPr>
          <w:b/>
          <w:sz w:val="24"/>
          <w:szCs w:val="24"/>
        </w:rPr>
        <w:t xml:space="preserve"> </w:t>
      </w:r>
      <w:r w:rsidRPr="0014495B">
        <w:rPr>
          <w:b/>
          <w:sz w:val="24"/>
          <w:szCs w:val="24"/>
        </w:rPr>
        <w:t xml:space="preserve">tej kwoty w trybie natychmiastowym w celu zapewnienia ciągłości świadczeń. </w:t>
      </w:r>
      <w:r w:rsidR="000B47B4" w:rsidRPr="0014495B">
        <w:rPr>
          <w:b/>
          <w:sz w:val="24"/>
          <w:szCs w:val="24"/>
        </w:rPr>
        <w:t xml:space="preserve">W </w:t>
      </w:r>
      <w:r w:rsidR="00E13ED7" w:rsidRPr="0014495B">
        <w:rPr>
          <w:b/>
          <w:sz w:val="24"/>
          <w:szCs w:val="24"/>
        </w:rPr>
        <w:t>tym celu z</w:t>
      </w:r>
      <w:r w:rsidR="000B47B4" w:rsidRPr="0014495B">
        <w:rPr>
          <w:b/>
          <w:sz w:val="24"/>
          <w:szCs w:val="24"/>
        </w:rPr>
        <w:t>awnioskowaliśmy również o przeksięgowanie</w:t>
      </w:r>
      <w:r w:rsidR="00E13ED7" w:rsidRPr="0014495B">
        <w:rPr>
          <w:b/>
          <w:sz w:val="24"/>
          <w:szCs w:val="24"/>
        </w:rPr>
        <w:t xml:space="preserve"> rezerwy na pule jednostkowe, gdyż zgodnie z otrzymaną informacją od Pracodawcy rozważa on możliwość zasilenia kont socjalnych tegorocznym odpisem </w:t>
      </w:r>
      <w:r w:rsidR="0014495B" w:rsidRPr="0014495B">
        <w:rPr>
          <w:b/>
          <w:sz w:val="24"/>
          <w:szCs w:val="24"/>
        </w:rPr>
        <w:t>przed końcem maja, ale nie zostały podjęte żadne decyzje, co grozi brakiem środków na wszystkich kotach socjalnych tj. Benefit, Wypoczynek, Pule Sklepowe do czerwca bieżącego roku.</w:t>
      </w:r>
    </w:p>
    <w:p w:rsidR="00A55A20" w:rsidRPr="0014495B" w:rsidRDefault="00A55A20" w:rsidP="00D46F0B">
      <w:pPr>
        <w:ind w:firstLine="708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 xml:space="preserve"> </w:t>
      </w: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  <w:r w:rsidRPr="0014495B">
        <w:rPr>
          <w:b/>
          <w:sz w:val="24"/>
          <w:szCs w:val="24"/>
        </w:rPr>
        <w:t xml:space="preserve">Poniżej przedstawiamy tabelę z propozycją wysokości świadczeń jaką przedstawiliśmy Pracodawcy, która jest korzystniejsza od tej przesłanej przez Pracodawcę. </w:t>
      </w: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tbl>
      <w:tblPr>
        <w:tblW w:w="16920" w:type="dxa"/>
        <w:tblInd w:w="-1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40"/>
        <w:gridCol w:w="1960"/>
        <w:gridCol w:w="1960"/>
        <w:gridCol w:w="1940"/>
        <w:gridCol w:w="1960"/>
        <w:gridCol w:w="960"/>
        <w:gridCol w:w="4780"/>
      </w:tblGrid>
      <w:tr w:rsidR="00D46F0B" w:rsidRPr="00D46F0B" w:rsidTr="00D46F0B">
        <w:trPr>
          <w:trHeight w:val="19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Grupa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Podgrupa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Dochód z oświadczenia na jedną osobę – z  PIT za 2017r.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wypoczynku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zorganizowanego i nie- zorganizowanego na pracownika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Świadczenia rzeczowe w ramach systemu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kafeteryjnego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wypoczynku zorganizowanego i nie- zorganizowanego, sanatoriów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i wczasów profilaktycznych na jedno dziecko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sanatoriów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i wczasów profilaktycznych i turnusów rehabilitacyjnych na pracownika (zł)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Zapomogi nielosowe, pomoc rzeczowa (zł)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do 1900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do 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500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zmniejszenie wydatków mieszkaniowych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500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zakup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lekarst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, środków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rehabititacyjnych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itp.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400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dofinansowanie opieki nad dziećmi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200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przybory szkolne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200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zakup odzieży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B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1901-2200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do 650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400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zmniejszenie wydatków mieszkaniowych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400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zakup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lekarst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, środków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rehabititacyjnych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itp.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300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dofinansowanie opieki nad dziećmi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150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przybory szkolne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150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zakup odzieży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2201-2500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14495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14495B">
              <w:rPr>
                <w:b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60800" behindDoc="1" locked="0" layoutInCell="1" allowOverlap="1" wp14:anchorId="0D4F986C" wp14:editId="419716F7">
                  <wp:simplePos x="0" y="0"/>
                  <wp:positionH relativeFrom="column">
                    <wp:posOffset>-3603625</wp:posOffset>
                  </wp:positionH>
                  <wp:positionV relativeFrom="paragraph">
                    <wp:posOffset>-1974850</wp:posOffset>
                  </wp:positionV>
                  <wp:extent cx="8200390" cy="3228975"/>
                  <wp:effectExtent l="209550" t="590550" r="200660" b="600075"/>
                  <wp:wrapNone/>
                  <wp:docPr id="3" name="Obraz 3" descr="solidarn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idarn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06868">
                            <a:off x="0" y="0"/>
                            <a:ext cx="8200390" cy="322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F0B"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2501-3000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46F0B" w:rsidRPr="00D46F0B" w:rsidTr="00D46F0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powyżej</w:t>
            </w: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br/>
              <w:t>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D5A30" w:rsidRPr="0014495B" w:rsidRDefault="004D5A30" w:rsidP="004D5A30">
      <w:pPr>
        <w:jc w:val="center"/>
        <w:rPr>
          <w:b/>
          <w:sz w:val="48"/>
          <w:szCs w:val="48"/>
        </w:rPr>
      </w:pPr>
    </w:p>
    <w:p w:rsidR="0088104D" w:rsidRPr="0014495B" w:rsidRDefault="0088104D" w:rsidP="004D5A30">
      <w:pPr>
        <w:jc w:val="center"/>
        <w:rPr>
          <w:b/>
          <w:sz w:val="48"/>
          <w:szCs w:val="48"/>
        </w:rPr>
      </w:pPr>
      <w:r w:rsidRPr="0014495B">
        <w:rPr>
          <w:b/>
          <w:sz w:val="48"/>
          <w:szCs w:val="48"/>
        </w:rPr>
        <w:t>W razie pytań służymy pomocą</w:t>
      </w:r>
    </w:p>
    <w:p w:rsidR="00C148E8" w:rsidRPr="0014495B" w:rsidRDefault="002F49E1" w:rsidP="004D5A30">
      <w:pPr>
        <w:ind w:firstLine="708"/>
        <w:jc w:val="center"/>
        <w:rPr>
          <w:b/>
          <w:sz w:val="32"/>
          <w:szCs w:val="32"/>
        </w:rPr>
      </w:pPr>
      <w:r w:rsidRPr="0014495B">
        <w:rPr>
          <w:b/>
          <w:sz w:val="48"/>
          <w:szCs w:val="48"/>
        </w:rPr>
        <w:t xml:space="preserve">tel. 663 – 881 - 545 </w:t>
      </w:r>
      <w:r w:rsidR="00D509B6" w:rsidRPr="0014495B">
        <w:rPr>
          <w:b/>
          <w:sz w:val="48"/>
          <w:szCs w:val="48"/>
        </w:rPr>
        <w:t>,</w:t>
      </w:r>
    </w:p>
    <w:p w:rsidR="00285339" w:rsidRPr="0014495B" w:rsidRDefault="00285339" w:rsidP="004D5A30">
      <w:pPr>
        <w:ind w:firstLine="708"/>
        <w:jc w:val="center"/>
        <w:rPr>
          <w:b/>
          <w:sz w:val="32"/>
          <w:szCs w:val="32"/>
        </w:rPr>
      </w:pPr>
    </w:p>
    <w:p w:rsidR="00F07901" w:rsidRPr="0014495B" w:rsidRDefault="0088104D" w:rsidP="004D5A30">
      <w:pPr>
        <w:jc w:val="center"/>
        <w:rPr>
          <w:b/>
          <w:sz w:val="32"/>
          <w:szCs w:val="32"/>
        </w:rPr>
      </w:pPr>
      <w:r w:rsidRPr="0014495B">
        <w:rPr>
          <w:b/>
          <w:sz w:val="32"/>
          <w:szCs w:val="32"/>
        </w:rPr>
        <w:t>Komisja Zakładowa</w:t>
      </w:r>
      <w:r w:rsidR="00285339" w:rsidRPr="0014495B">
        <w:rPr>
          <w:b/>
          <w:sz w:val="32"/>
          <w:szCs w:val="32"/>
        </w:rPr>
        <w:t xml:space="preserve"> NSZZ „Solidarność”</w:t>
      </w:r>
      <w:r w:rsidRPr="0014495B">
        <w:rPr>
          <w:b/>
          <w:sz w:val="32"/>
          <w:szCs w:val="32"/>
        </w:rPr>
        <w:t xml:space="preserve"> w Castorama Polska Sp.z o.o.</w:t>
      </w:r>
    </w:p>
    <w:sectPr w:rsidR="00F07901" w:rsidRPr="0014495B" w:rsidSect="004921F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9"/>
    <w:rsid w:val="00052F84"/>
    <w:rsid w:val="000556BB"/>
    <w:rsid w:val="000B47B4"/>
    <w:rsid w:val="00116C3D"/>
    <w:rsid w:val="0014495B"/>
    <w:rsid w:val="00285339"/>
    <w:rsid w:val="002920A0"/>
    <w:rsid w:val="002B57F8"/>
    <w:rsid w:val="002F49E1"/>
    <w:rsid w:val="00303829"/>
    <w:rsid w:val="00402AF9"/>
    <w:rsid w:val="004921F7"/>
    <w:rsid w:val="004D5A30"/>
    <w:rsid w:val="00573398"/>
    <w:rsid w:val="005933C5"/>
    <w:rsid w:val="0088104D"/>
    <w:rsid w:val="0089258E"/>
    <w:rsid w:val="00952F48"/>
    <w:rsid w:val="00963256"/>
    <w:rsid w:val="009E2F47"/>
    <w:rsid w:val="00A0073C"/>
    <w:rsid w:val="00A55A20"/>
    <w:rsid w:val="00AE07BB"/>
    <w:rsid w:val="00C148E8"/>
    <w:rsid w:val="00C569F9"/>
    <w:rsid w:val="00CA706D"/>
    <w:rsid w:val="00CE4940"/>
    <w:rsid w:val="00D46F0B"/>
    <w:rsid w:val="00D509B6"/>
    <w:rsid w:val="00D51630"/>
    <w:rsid w:val="00DB5D9F"/>
    <w:rsid w:val="00E13ED7"/>
    <w:rsid w:val="00E53423"/>
    <w:rsid w:val="00E82E6F"/>
    <w:rsid w:val="00F0790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ACF8"/>
  <w15:docId w15:val="{9812B68B-080A-4CE2-AB9D-793617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9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49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A20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idarnosc-castorama.pl/" TargetMode="External"/><Relationship Id="rId5" Type="http://schemas.openxmlformats.org/officeDocument/2006/relationships/hyperlink" Target="https://www.facebook.com/solidarnosc.castora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Mariusz Mieleszczenko</cp:lastModifiedBy>
  <cp:revision>2</cp:revision>
  <cp:lastPrinted>2011-12-22T09:43:00Z</cp:lastPrinted>
  <dcterms:created xsi:type="dcterms:W3CDTF">2019-01-15T13:11:00Z</dcterms:created>
  <dcterms:modified xsi:type="dcterms:W3CDTF">2019-01-15T13:11:00Z</dcterms:modified>
</cp:coreProperties>
</file>