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Papeteria" color2="#002f76" type="tile"/>
    </v:background>
  </w:background>
  <w:body>
    <w:p w:rsidR="00FC1E4B" w:rsidRDefault="00FC1E4B"/>
    <w:p w:rsidR="00FC1E4B" w:rsidRPr="00191601" w:rsidRDefault="00E973B1" w:rsidP="00191601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Żory 2018</w:t>
      </w:r>
    </w:p>
    <w:p w:rsidR="00FC1E4B" w:rsidRPr="00FC1E4B" w:rsidRDefault="00FC1E4B" w:rsidP="00FC1E4B"/>
    <w:p w:rsidR="00FC1E4B" w:rsidRPr="00FC1E4B" w:rsidRDefault="001F623A" w:rsidP="001F623A">
      <w:pPr>
        <w:tabs>
          <w:tab w:val="left" w:pos="2745"/>
        </w:tabs>
      </w:pPr>
      <w:r>
        <w:tab/>
      </w:r>
    </w:p>
    <w:p w:rsidR="00FC1E4B" w:rsidRDefault="00FC1E4B" w:rsidP="00FC1E4B"/>
    <w:p w:rsidR="00191601" w:rsidRDefault="00191601" w:rsidP="00FC1E4B"/>
    <w:p w:rsidR="00191601" w:rsidRDefault="00191601" w:rsidP="00FC1E4B"/>
    <w:p w:rsidR="00191601" w:rsidRDefault="00191601" w:rsidP="00FC1E4B"/>
    <w:p w:rsidR="00191601" w:rsidRDefault="00191601" w:rsidP="00FC1E4B"/>
    <w:p w:rsidR="00191601" w:rsidRPr="00191601" w:rsidRDefault="00191601" w:rsidP="00191601">
      <w:pPr>
        <w:spacing w:after="0" w:line="240" w:lineRule="auto"/>
        <w:jc w:val="center"/>
        <w:rPr>
          <w:b/>
          <w:sz w:val="40"/>
          <w:szCs w:val="40"/>
        </w:rPr>
      </w:pPr>
      <w:r w:rsidRPr="00191601">
        <w:rPr>
          <w:b/>
          <w:sz w:val="40"/>
          <w:szCs w:val="40"/>
        </w:rPr>
        <w:t>OFERTA HANDLOWA</w:t>
      </w:r>
    </w:p>
    <w:p w:rsidR="00191601" w:rsidRDefault="00191601" w:rsidP="00191601">
      <w:pPr>
        <w:spacing w:after="0" w:line="240" w:lineRule="auto"/>
        <w:jc w:val="center"/>
        <w:rPr>
          <w:b/>
          <w:sz w:val="40"/>
          <w:szCs w:val="40"/>
        </w:rPr>
      </w:pPr>
      <w:r w:rsidRPr="00191601">
        <w:rPr>
          <w:b/>
          <w:sz w:val="40"/>
          <w:szCs w:val="40"/>
        </w:rPr>
        <w:t>Na obsługę prawną</w:t>
      </w:r>
    </w:p>
    <w:p w:rsidR="00191601" w:rsidRPr="00191601" w:rsidRDefault="00191601" w:rsidP="00191601">
      <w:pPr>
        <w:spacing w:after="0" w:line="240" w:lineRule="auto"/>
        <w:jc w:val="center"/>
        <w:rPr>
          <w:b/>
          <w:sz w:val="40"/>
          <w:szCs w:val="40"/>
        </w:rPr>
      </w:pPr>
    </w:p>
    <w:p w:rsidR="00191601" w:rsidRDefault="00191601" w:rsidP="00FC1E4B"/>
    <w:p w:rsidR="00FC1E4B" w:rsidRDefault="00FC1E4B" w:rsidP="00FC1E4B">
      <w:pPr>
        <w:tabs>
          <w:tab w:val="left" w:pos="1065"/>
        </w:tabs>
      </w:pPr>
      <w:r>
        <w:tab/>
      </w:r>
    </w:p>
    <w:p w:rsidR="00A7575C" w:rsidRDefault="00FC1E4B" w:rsidP="00FC1E4B">
      <w:pPr>
        <w:tabs>
          <w:tab w:val="left" w:pos="4020"/>
        </w:tabs>
      </w:pPr>
      <w:r>
        <w:tab/>
      </w:r>
    </w:p>
    <w:p w:rsidR="00191601" w:rsidRDefault="00191601" w:rsidP="00FC1E4B">
      <w:pPr>
        <w:tabs>
          <w:tab w:val="left" w:pos="4020"/>
        </w:tabs>
      </w:pPr>
    </w:p>
    <w:p w:rsidR="00191601" w:rsidRDefault="00191601" w:rsidP="00FC1E4B">
      <w:pPr>
        <w:tabs>
          <w:tab w:val="left" w:pos="4020"/>
        </w:tabs>
      </w:pPr>
    </w:p>
    <w:p w:rsidR="00191601" w:rsidRDefault="00191601" w:rsidP="00FC1E4B">
      <w:pPr>
        <w:tabs>
          <w:tab w:val="left" w:pos="4020"/>
        </w:tabs>
      </w:pPr>
    </w:p>
    <w:p w:rsidR="00191601" w:rsidRDefault="00191601" w:rsidP="00FC1E4B">
      <w:pPr>
        <w:tabs>
          <w:tab w:val="left" w:pos="4020"/>
        </w:tabs>
      </w:pPr>
    </w:p>
    <w:p w:rsidR="00191601" w:rsidRDefault="00191601" w:rsidP="00FC1E4B">
      <w:pPr>
        <w:tabs>
          <w:tab w:val="left" w:pos="4020"/>
        </w:tabs>
      </w:pPr>
    </w:p>
    <w:p w:rsidR="00191601" w:rsidRDefault="00191601" w:rsidP="00776977">
      <w:pPr>
        <w:tabs>
          <w:tab w:val="left" w:pos="4020"/>
        </w:tabs>
        <w:rPr>
          <w:rFonts w:ascii="Times New Roman" w:eastAsiaTheme="majorEastAsia" w:hAnsi="Times New Roman" w:cs="Times New Roman"/>
          <w:b/>
          <w:sz w:val="32"/>
          <w:szCs w:val="32"/>
        </w:rPr>
      </w:pPr>
    </w:p>
    <w:p w:rsidR="0065125F" w:rsidRDefault="0065125F" w:rsidP="00776977">
      <w:pPr>
        <w:tabs>
          <w:tab w:val="left" w:pos="4020"/>
        </w:tabs>
        <w:rPr>
          <w:rFonts w:ascii="Times New Roman" w:eastAsiaTheme="majorEastAsia" w:hAnsi="Times New Roman" w:cs="Times New Roman"/>
          <w:b/>
          <w:sz w:val="32"/>
          <w:szCs w:val="32"/>
        </w:rPr>
      </w:pPr>
    </w:p>
    <w:p w:rsidR="0065125F" w:rsidRDefault="0065125F" w:rsidP="00776977">
      <w:pPr>
        <w:tabs>
          <w:tab w:val="left" w:pos="4020"/>
        </w:tabs>
        <w:rPr>
          <w:rFonts w:ascii="Times New Roman" w:eastAsiaTheme="majorEastAsia" w:hAnsi="Times New Roman" w:cs="Times New Roman"/>
          <w:b/>
          <w:sz w:val="32"/>
          <w:szCs w:val="32"/>
        </w:rPr>
      </w:pPr>
    </w:p>
    <w:p w:rsidR="0065125F" w:rsidRPr="005969A5" w:rsidRDefault="0065125F" w:rsidP="00776977">
      <w:pPr>
        <w:tabs>
          <w:tab w:val="left" w:pos="4020"/>
        </w:tabs>
        <w:rPr>
          <w:rFonts w:ascii="Times New Roman" w:eastAsiaTheme="majorEastAsia" w:hAnsi="Times New Roman" w:cs="Times New Roman"/>
          <w:b/>
          <w:sz w:val="32"/>
          <w:szCs w:val="32"/>
          <w:lang w:val="en-US"/>
        </w:rPr>
      </w:pPr>
    </w:p>
    <w:p w:rsidR="00EE041A" w:rsidRDefault="00EE041A" w:rsidP="003D68D6">
      <w:pPr>
        <w:tabs>
          <w:tab w:val="left" w:pos="4020"/>
        </w:tabs>
        <w:rPr>
          <w:rFonts w:ascii="Times New Roman" w:hAnsi="Times New Roman" w:cs="Times New Roman"/>
          <w:b/>
          <w:sz w:val="36"/>
          <w:szCs w:val="36"/>
        </w:rPr>
      </w:pPr>
    </w:p>
    <w:p w:rsidR="00F559E3" w:rsidRPr="00F559E3" w:rsidRDefault="00F559E3" w:rsidP="00191601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59E3">
        <w:rPr>
          <w:rFonts w:ascii="Times New Roman" w:hAnsi="Times New Roman" w:cs="Times New Roman"/>
          <w:b/>
          <w:sz w:val="36"/>
          <w:szCs w:val="36"/>
        </w:rPr>
        <w:lastRenderedPageBreak/>
        <w:t>OFERTA</w:t>
      </w:r>
    </w:p>
    <w:p w:rsidR="00F559E3" w:rsidRDefault="00F559E3" w:rsidP="00191601">
      <w:pPr>
        <w:tabs>
          <w:tab w:val="left" w:pos="4020"/>
        </w:tabs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F559E3" w:rsidTr="00F559E3">
        <w:tc>
          <w:tcPr>
            <w:tcW w:w="3227" w:type="dxa"/>
          </w:tcPr>
          <w:p w:rsidR="00F559E3" w:rsidRDefault="00F559E3" w:rsidP="00F559E3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Ochrona prawna</w:t>
            </w:r>
          </w:p>
        </w:tc>
        <w:tc>
          <w:tcPr>
            <w:tcW w:w="5985" w:type="dxa"/>
          </w:tcPr>
          <w:p w:rsidR="00F559E3" w:rsidRDefault="00F559E3" w:rsidP="00F559E3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Oferujemy ochronę prawną 24h/ 7dni</w:t>
            </w:r>
          </w:p>
        </w:tc>
      </w:tr>
      <w:tr w:rsidR="00F559E3" w:rsidTr="00F559E3">
        <w:tc>
          <w:tcPr>
            <w:tcW w:w="3227" w:type="dxa"/>
          </w:tcPr>
          <w:p w:rsidR="00F559E3" w:rsidRDefault="00563AF8" w:rsidP="00F559E3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Kontakt</w:t>
            </w:r>
          </w:p>
        </w:tc>
        <w:tc>
          <w:tcPr>
            <w:tcW w:w="5985" w:type="dxa"/>
          </w:tcPr>
          <w:p w:rsidR="00F559E3" w:rsidRDefault="000E6586" w:rsidP="00F559E3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Telefoniczny, mailowy, w przypadku spraw sądowych bezpośredni.</w:t>
            </w:r>
          </w:p>
        </w:tc>
      </w:tr>
      <w:tr w:rsidR="00F559E3" w:rsidTr="00F559E3">
        <w:tc>
          <w:tcPr>
            <w:tcW w:w="3227" w:type="dxa"/>
          </w:tcPr>
          <w:p w:rsidR="00F559E3" w:rsidRDefault="000E6586" w:rsidP="00F559E3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Zasady kontaktu</w:t>
            </w:r>
          </w:p>
        </w:tc>
        <w:tc>
          <w:tcPr>
            <w:tcW w:w="5985" w:type="dxa"/>
          </w:tcPr>
          <w:p w:rsidR="00F559E3" w:rsidRDefault="000E6586" w:rsidP="00F559E3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Każdy z klientów otrzymuje indywidualną kartę, która umożliwia bezpośredni kontakt z mecenasem. Mecenas jest dostępny pod telefonem 24h/7dni. Najistotniejsza jest natychmiastowa pomoc w chwili zdarzenia. Ideą tej  działalności jest to, że w chwili problemu można od razu kontaktować się z pomocą prawną. Pozwala to uniknąć niepotrzebnych problemów.</w:t>
            </w:r>
          </w:p>
        </w:tc>
      </w:tr>
      <w:tr w:rsidR="00F559E3" w:rsidTr="00F559E3">
        <w:tc>
          <w:tcPr>
            <w:tcW w:w="3227" w:type="dxa"/>
          </w:tcPr>
          <w:p w:rsidR="00F559E3" w:rsidRDefault="00EF7BFC" w:rsidP="00DA6291">
            <w:pPr>
              <w:tabs>
                <w:tab w:val="left" w:pos="40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Zakres pomocy prawnej</w:t>
            </w:r>
          </w:p>
        </w:tc>
        <w:tc>
          <w:tcPr>
            <w:tcW w:w="5985" w:type="dxa"/>
          </w:tcPr>
          <w:p w:rsidR="00F559E3" w:rsidRDefault="00DA6291" w:rsidP="00DA6291">
            <w:pPr>
              <w:pStyle w:val="Akapitzlist"/>
              <w:numPr>
                <w:ilvl w:val="0"/>
                <w:numId w:val="2"/>
              </w:num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Doraźna pomoc prawna w chwili zdarzenia.</w:t>
            </w:r>
          </w:p>
          <w:p w:rsidR="00DA6291" w:rsidRDefault="00DA6291" w:rsidP="00DA6291">
            <w:pPr>
              <w:pStyle w:val="Akapitzlist"/>
              <w:numPr>
                <w:ilvl w:val="0"/>
                <w:numId w:val="2"/>
              </w:numPr>
              <w:tabs>
                <w:tab w:val="left" w:pos="40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Analiza dokumentacji przez mecenasa specjalizującego się w danym zagadnieniu prawnym.</w:t>
            </w:r>
          </w:p>
          <w:p w:rsidR="00DA6291" w:rsidRDefault="00DA6291" w:rsidP="00DA6291">
            <w:pPr>
              <w:pStyle w:val="Akapitzlist"/>
              <w:numPr>
                <w:ilvl w:val="0"/>
                <w:numId w:val="2"/>
              </w:numPr>
              <w:tabs>
                <w:tab w:val="left" w:pos="40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Przygotowanie </w:t>
            </w:r>
            <w:r w:rsidR="00776BB1">
              <w:rPr>
                <w:rFonts w:ascii="Times New Roman" w:hAnsi="Times New Roman" w:cs="Times New Roman"/>
                <w:sz w:val="32"/>
                <w:szCs w:val="32"/>
              </w:rPr>
              <w:t>wzoru pisma na podstawie przedstawionych faktów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A6291" w:rsidRDefault="00DA6291" w:rsidP="00DA6291">
            <w:pPr>
              <w:pStyle w:val="Akapitzlist"/>
              <w:numPr>
                <w:ilvl w:val="0"/>
                <w:numId w:val="2"/>
              </w:numPr>
              <w:tabs>
                <w:tab w:val="left" w:pos="40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Konsultacje z całości zagadnień prawnych obowiązujących na terenie RP.</w:t>
            </w:r>
          </w:p>
          <w:p w:rsidR="00DA6291" w:rsidRDefault="00460DF7" w:rsidP="00DA6291">
            <w:pPr>
              <w:pStyle w:val="Akapitzlist"/>
              <w:numPr>
                <w:ilvl w:val="0"/>
                <w:numId w:val="2"/>
              </w:numPr>
              <w:tabs>
                <w:tab w:val="left" w:pos="40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Przesłanie pism prawnych oraz umów powszechnego obrotu.</w:t>
            </w:r>
          </w:p>
          <w:p w:rsidR="00460DF7" w:rsidRDefault="006A70CE" w:rsidP="00DA6291">
            <w:pPr>
              <w:pStyle w:val="Akapitzlist"/>
              <w:numPr>
                <w:ilvl w:val="0"/>
                <w:numId w:val="2"/>
              </w:numPr>
              <w:tabs>
                <w:tab w:val="left" w:pos="40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Oferujemy przygotowanie wszelakich dokumentów niezbędnych dla naszego klienta, takich jak wezwania do zapłaty, sprzeciwów, pełnomocnictw i tp.</w:t>
            </w:r>
          </w:p>
          <w:p w:rsidR="006A70CE" w:rsidRDefault="006A70CE" w:rsidP="00DA6291">
            <w:pPr>
              <w:pStyle w:val="Akapitzlist"/>
              <w:numPr>
                <w:ilvl w:val="0"/>
                <w:numId w:val="2"/>
              </w:numPr>
              <w:tabs>
                <w:tab w:val="left" w:pos="40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Udzielanie pełnej informacji o orzecznictwie w zakresie poruszanego problemu prawnego.</w:t>
            </w:r>
          </w:p>
          <w:p w:rsidR="006A70CE" w:rsidRDefault="00EE041A" w:rsidP="00DA6291">
            <w:pPr>
              <w:pStyle w:val="Akapitzlist"/>
              <w:numPr>
                <w:ilvl w:val="0"/>
                <w:numId w:val="2"/>
              </w:numPr>
              <w:tabs>
                <w:tab w:val="left" w:pos="40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Wskazanie danych adresowych sądów,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kancelarii  w pobliżu zamieszkania klienta na jego prośbę.</w:t>
            </w:r>
          </w:p>
          <w:p w:rsidR="00EE041A" w:rsidRDefault="00EE041A" w:rsidP="00EE041A">
            <w:pPr>
              <w:pStyle w:val="Akapitzlist"/>
              <w:numPr>
                <w:ilvl w:val="0"/>
                <w:numId w:val="2"/>
              </w:numPr>
              <w:ind w:left="60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Objęcie ochroną prawną członków rodziny</w:t>
            </w:r>
          </w:p>
          <w:p w:rsidR="00776977" w:rsidRDefault="00776977" w:rsidP="00EE041A">
            <w:pPr>
              <w:pStyle w:val="Akapitzlist"/>
              <w:numPr>
                <w:ilvl w:val="0"/>
                <w:numId w:val="2"/>
              </w:numPr>
              <w:ind w:left="60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Kwestie </w:t>
            </w:r>
            <w:r w:rsidR="00A91987">
              <w:rPr>
                <w:rFonts w:ascii="Times New Roman" w:hAnsi="Times New Roman" w:cs="Times New Roman"/>
                <w:sz w:val="32"/>
                <w:szCs w:val="32"/>
              </w:rPr>
              <w:t>kodeksu drogowego, sprawy ubezpieczeniowe są prowadzone również w postępowaniach sądowych, w ramach pakietu.</w:t>
            </w:r>
          </w:p>
          <w:p w:rsidR="007F70CD" w:rsidRPr="00EE041A" w:rsidRDefault="007F70CD" w:rsidP="00EE041A">
            <w:pPr>
              <w:pStyle w:val="Akapitzlist"/>
              <w:numPr>
                <w:ilvl w:val="0"/>
                <w:numId w:val="2"/>
              </w:numPr>
              <w:ind w:left="60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Objęcie ochroną prawną najbliższych: małżonkowie, dzieci, konkubenci, partnerzy.</w:t>
            </w:r>
          </w:p>
        </w:tc>
      </w:tr>
      <w:tr w:rsidR="00F559E3" w:rsidTr="00F559E3">
        <w:tc>
          <w:tcPr>
            <w:tcW w:w="3227" w:type="dxa"/>
          </w:tcPr>
          <w:p w:rsidR="00F559E3" w:rsidRDefault="00C56F1E" w:rsidP="00F559E3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Ograniczenia</w:t>
            </w:r>
          </w:p>
        </w:tc>
        <w:tc>
          <w:tcPr>
            <w:tcW w:w="5985" w:type="dxa"/>
          </w:tcPr>
          <w:p w:rsidR="00F559E3" w:rsidRDefault="00C56F1E" w:rsidP="00F559E3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Oferujemy nie ograniczony dostęp do ochrony prawnej. Nielimitowana liczba porad telefonicznych. Nielimitowana liczba przygotowanych pism dla klienta.</w:t>
            </w:r>
          </w:p>
        </w:tc>
      </w:tr>
      <w:tr w:rsidR="007F70CD" w:rsidTr="00F559E3">
        <w:tc>
          <w:tcPr>
            <w:tcW w:w="3227" w:type="dxa"/>
          </w:tcPr>
          <w:p w:rsidR="007F70CD" w:rsidRDefault="007F70CD" w:rsidP="00F559E3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Dodatkowe możliwości</w:t>
            </w:r>
          </w:p>
        </w:tc>
        <w:tc>
          <w:tcPr>
            <w:tcW w:w="5985" w:type="dxa"/>
          </w:tcPr>
          <w:p w:rsidR="007F70CD" w:rsidRDefault="007F70CD" w:rsidP="007F70CD">
            <w:pPr>
              <w:pStyle w:val="Akapitzlist"/>
              <w:numPr>
                <w:ilvl w:val="0"/>
                <w:numId w:val="4"/>
              </w:num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Samochód zastępczy na terenie całego kraju w ramach projektu</w:t>
            </w:r>
            <w:r w:rsidR="007A17AD">
              <w:rPr>
                <w:rFonts w:ascii="Times New Roman" w:hAnsi="Times New Roman" w:cs="Times New Roman"/>
                <w:sz w:val="32"/>
                <w:szCs w:val="32"/>
              </w:rPr>
              <w:t>. W przypadku gdy nastąpi zdarzenie drogowe w ramach ubezpieczenia, każdy członek związku zawodowego otrzymuje samochód zastępczy. Samochód jest dostarczany we wskazane miejsce przez klienta i na wskazaną godzinę. Samochód jest zatankowany wyczyszczony i w tym samym stanie jest odbierany po zamknięciu sprawy.</w:t>
            </w:r>
          </w:p>
          <w:p w:rsidR="007F70CD" w:rsidRDefault="007A17AD" w:rsidP="007F70CD">
            <w:pPr>
              <w:pStyle w:val="Akapitzlist"/>
              <w:numPr>
                <w:ilvl w:val="0"/>
                <w:numId w:val="4"/>
              </w:num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 ramach naszej floty samochodowej można na preferencyjnych warunkach wypożyczyć samochody</w:t>
            </w:r>
            <w:r w:rsidR="0047148A">
              <w:rPr>
                <w:rFonts w:ascii="Times New Roman" w:hAnsi="Times New Roman" w:cs="Times New Roman"/>
                <w:sz w:val="32"/>
                <w:szCs w:val="32"/>
              </w:rPr>
              <w:t>. Cena wypożyczenia samochodu jest uzależniona od zdeklarowanego okresu oraz klasy samochodu jakim jesteśmy zainteresowani.</w:t>
            </w:r>
          </w:p>
          <w:p w:rsidR="007F70CD" w:rsidRDefault="007F70CD" w:rsidP="007F70CD">
            <w:pPr>
              <w:pStyle w:val="Akapitzlist"/>
              <w:numPr>
                <w:ilvl w:val="0"/>
                <w:numId w:val="4"/>
              </w:num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Wszelkiego rodzaju ubezpieczenia (przygotowywane według potrzeb)</w:t>
            </w:r>
          </w:p>
          <w:p w:rsidR="007F70CD" w:rsidRPr="007F70CD" w:rsidRDefault="007F70CD" w:rsidP="007F70CD">
            <w:pPr>
              <w:pStyle w:val="Akapitzlist"/>
              <w:numPr>
                <w:ilvl w:val="0"/>
                <w:numId w:val="4"/>
              </w:num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Pomoce drogowe, holowniki </w:t>
            </w:r>
          </w:p>
        </w:tc>
      </w:tr>
    </w:tbl>
    <w:p w:rsidR="00F559E3" w:rsidRDefault="00F559E3" w:rsidP="00F559E3">
      <w:pPr>
        <w:tabs>
          <w:tab w:val="left" w:pos="402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996BDB" w:rsidRDefault="00996BDB" w:rsidP="00996BDB">
      <w:pPr>
        <w:tabs>
          <w:tab w:val="left" w:pos="4020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559E3" w:rsidRDefault="00996BDB" w:rsidP="007F70CD">
      <w:pPr>
        <w:tabs>
          <w:tab w:val="left" w:pos="4020"/>
        </w:tabs>
        <w:rPr>
          <w:rFonts w:ascii="Times New Roman" w:hAnsi="Times New Roman" w:cs="Times New Roman"/>
          <w:b/>
          <w:i/>
          <w:sz w:val="40"/>
          <w:szCs w:val="40"/>
        </w:rPr>
      </w:pPr>
      <w:r w:rsidRPr="00996BDB">
        <w:rPr>
          <w:rFonts w:ascii="Times New Roman" w:hAnsi="Times New Roman" w:cs="Times New Roman"/>
          <w:b/>
          <w:i/>
          <w:sz w:val="40"/>
          <w:szCs w:val="40"/>
        </w:rPr>
        <w:t>Mamy nadzieję, że niniejsza oferta stanowi mocną podstawę do dalszych rozmów. Jesteśmy gotowi odpowiedzieć na Państwa pytania i wątpliwości.</w:t>
      </w:r>
    </w:p>
    <w:p w:rsidR="00996BDB" w:rsidRDefault="00996BDB" w:rsidP="00996BDB">
      <w:pPr>
        <w:tabs>
          <w:tab w:val="left" w:pos="4020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96BDB" w:rsidRPr="00996BDB" w:rsidRDefault="00996BDB" w:rsidP="00996BDB">
      <w:pPr>
        <w:tabs>
          <w:tab w:val="left" w:pos="4020"/>
        </w:tabs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Piotr Wideryński</w:t>
      </w:r>
    </w:p>
    <w:sectPr w:rsidR="00996BDB" w:rsidRPr="00996BDB" w:rsidSect="001F623A">
      <w:headerReference w:type="default" r:id="rId9"/>
      <w:footerReference w:type="default" r:id="rId10"/>
      <w:pgSz w:w="11906" w:h="16838"/>
      <w:pgMar w:top="1417" w:right="1417" w:bottom="1417" w:left="1417" w:header="1077" w:footer="0" w:gutter="0"/>
      <w:pgBorders w:offsetFrom="page"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BC4" w:rsidRDefault="008C3BC4" w:rsidP="008305E5">
      <w:pPr>
        <w:spacing w:after="0" w:line="240" w:lineRule="auto"/>
      </w:pPr>
      <w:r>
        <w:separator/>
      </w:r>
    </w:p>
  </w:endnote>
  <w:endnote w:type="continuationSeparator" w:id="1">
    <w:p w:rsidR="008C3BC4" w:rsidRDefault="008C3BC4" w:rsidP="0083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4B" w:rsidRPr="001F623A" w:rsidRDefault="00FC1E4B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</w:rPr>
    </w:pPr>
    <w:r w:rsidRPr="001F623A">
      <w:rPr>
        <w:rFonts w:asciiTheme="majorHAnsi" w:eastAsiaTheme="majorEastAsia" w:hAnsiTheme="majorHAnsi" w:cstheme="majorBidi"/>
        <w:b/>
      </w:rPr>
      <w:ptab w:relativeTo="margin" w:alignment="right" w:leader="none"/>
    </w:r>
    <w:r w:rsidRPr="001F623A">
      <w:rPr>
        <w:rFonts w:asciiTheme="majorHAnsi" w:eastAsiaTheme="majorEastAsia" w:hAnsiTheme="majorHAnsi" w:cstheme="majorBidi"/>
        <w:b/>
      </w:rPr>
      <w:t xml:space="preserve">Strona </w:t>
    </w:r>
    <w:r w:rsidR="00C42804" w:rsidRPr="00C42804">
      <w:rPr>
        <w:rFonts w:eastAsiaTheme="minorEastAsia"/>
        <w:b/>
      </w:rPr>
      <w:fldChar w:fldCharType="begin"/>
    </w:r>
    <w:r w:rsidRPr="001F623A">
      <w:rPr>
        <w:b/>
      </w:rPr>
      <w:instrText>PAGE   \* MERGEFORMAT</w:instrText>
    </w:r>
    <w:r w:rsidR="00C42804" w:rsidRPr="00C42804">
      <w:rPr>
        <w:rFonts w:eastAsiaTheme="minorEastAsia"/>
        <w:b/>
      </w:rPr>
      <w:fldChar w:fldCharType="separate"/>
    </w:r>
    <w:r w:rsidR="00CF7311" w:rsidRPr="00CF7311">
      <w:rPr>
        <w:rFonts w:asciiTheme="majorHAnsi" w:eastAsiaTheme="majorEastAsia" w:hAnsiTheme="majorHAnsi" w:cstheme="majorBidi"/>
        <w:b/>
        <w:noProof/>
      </w:rPr>
      <w:t>4</w:t>
    </w:r>
    <w:r w:rsidR="00C42804" w:rsidRPr="001F623A">
      <w:rPr>
        <w:rFonts w:asciiTheme="majorHAnsi" w:eastAsiaTheme="majorEastAsia" w:hAnsiTheme="majorHAnsi" w:cstheme="majorBidi"/>
        <w:b/>
      </w:rPr>
      <w:fldChar w:fldCharType="end"/>
    </w:r>
  </w:p>
  <w:p w:rsidR="00FC1E4B" w:rsidRDefault="00FC1E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BC4" w:rsidRDefault="008C3BC4" w:rsidP="008305E5">
      <w:pPr>
        <w:spacing w:after="0" w:line="240" w:lineRule="auto"/>
      </w:pPr>
      <w:r>
        <w:separator/>
      </w:r>
    </w:p>
  </w:footnote>
  <w:footnote w:type="continuationSeparator" w:id="1">
    <w:p w:rsidR="008C3BC4" w:rsidRDefault="008C3BC4" w:rsidP="00830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E5" w:rsidRDefault="008305E5">
    <w:pPr>
      <w:pStyle w:val="Nagwek"/>
    </w:pPr>
  </w:p>
  <w:p w:rsidR="008305E5" w:rsidRDefault="008305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11C2"/>
    <w:multiLevelType w:val="hybridMultilevel"/>
    <w:tmpl w:val="B9CC5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4C41"/>
    <w:multiLevelType w:val="hybridMultilevel"/>
    <w:tmpl w:val="BDB44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910D5"/>
    <w:multiLevelType w:val="hybridMultilevel"/>
    <w:tmpl w:val="F4BA3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C4B7F"/>
    <w:multiLevelType w:val="hybridMultilevel"/>
    <w:tmpl w:val="E8661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35842">
      <o:colormru v:ext="edit" colors="#ccb2bb,#81733f,#a6a2f4,#e484f4,#06f"/>
    </o:shapedefaults>
  </w:hdrShapeDefaults>
  <w:footnotePr>
    <w:footnote w:id="0"/>
    <w:footnote w:id="1"/>
  </w:footnotePr>
  <w:endnotePr>
    <w:endnote w:id="0"/>
    <w:endnote w:id="1"/>
  </w:endnotePr>
  <w:compat/>
  <w:rsids>
    <w:rsidRoot w:val="008305E5"/>
    <w:rsid w:val="000643F5"/>
    <w:rsid w:val="00090278"/>
    <w:rsid w:val="000E6586"/>
    <w:rsid w:val="00110E45"/>
    <w:rsid w:val="00175434"/>
    <w:rsid w:val="00191601"/>
    <w:rsid w:val="001F3B3D"/>
    <w:rsid w:val="001F623A"/>
    <w:rsid w:val="002B5AC8"/>
    <w:rsid w:val="0033007F"/>
    <w:rsid w:val="003A780F"/>
    <w:rsid w:val="003D68D6"/>
    <w:rsid w:val="00416C44"/>
    <w:rsid w:val="00460DF7"/>
    <w:rsid w:val="00470C89"/>
    <w:rsid w:val="0047148A"/>
    <w:rsid w:val="005616A6"/>
    <w:rsid w:val="00563AF8"/>
    <w:rsid w:val="005735E5"/>
    <w:rsid w:val="005969A5"/>
    <w:rsid w:val="005C3B65"/>
    <w:rsid w:val="005F04AD"/>
    <w:rsid w:val="0065125F"/>
    <w:rsid w:val="006A70CE"/>
    <w:rsid w:val="00776977"/>
    <w:rsid w:val="00776BB1"/>
    <w:rsid w:val="007A17AD"/>
    <w:rsid w:val="007F70CD"/>
    <w:rsid w:val="008305E5"/>
    <w:rsid w:val="00847FF9"/>
    <w:rsid w:val="008C3BC4"/>
    <w:rsid w:val="00920714"/>
    <w:rsid w:val="00974A07"/>
    <w:rsid w:val="00996BDB"/>
    <w:rsid w:val="00996D1C"/>
    <w:rsid w:val="00A0607F"/>
    <w:rsid w:val="00A64896"/>
    <w:rsid w:val="00A7575C"/>
    <w:rsid w:val="00A91987"/>
    <w:rsid w:val="00AA539B"/>
    <w:rsid w:val="00B731EB"/>
    <w:rsid w:val="00C01143"/>
    <w:rsid w:val="00C42804"/>
    <w:rsid w:val="00C56F1E"/>
    <w:rsid w:val="00C640C3"/>
    <w:rsid w:val="00C73E78"/>
    <w:rsid w:val="00CA4DF2"/>
    <w:rsid w:val="00CA5BCE"/>
    <w:rsid w:val="00CE1387"/>
    <w:rsid w:val="00CF7138"/>
    <w:rsid w:val="00CF7311"/>
    <w:rsid w:val="00D21E35"/>
    <w:rsid w:val="00D85DAF"/>
    <w:rsid w:val="00DA6291"/>
    <w:rsid w:val="00DF41F9"/>
    <w:rsid w:val="00E07C04"/>
    <w:rsid w:val="00E23380"/>
    <w:rsid w:val="00E973B1"/>
    <w:rsid w:val="00EE041A"/>
    <w:rsid w:val="00EE7816"/>
    <w:rsid w:val="00EF7BFC"/>
    <w:rsid w:val="00F559E3"/>
    <w:rsid w:val="00FC1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ru v:ext="edit" colors="#ccb2bb,#81733f,#a6a2f4,#e484f4,#0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5E5"/>
  </w:style>
  <w:style w:type="paragraph" w:styleId="Stopka">
    <w:name w:val="footer"/>
    <w:basedOn w:val="Normalny"/>
    <w:link w:val="StopkaZnak"/>
    <w:uiPriority w:val="99"/>
    <w:unhideWhenUsed/>
    <w:rsid w:val="00830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5E5"/>
  </w:style>
  <w:style w:type="paragraph" w:styleId="Tekstdymka">
    <w:name w:val="Balloon Text"/>
    <w:basedOn w:val="Normalny"/>
    <w:link w:val="TekstdymkaZnak"/>
    <w:uiPriority w:val="99"/>
    <w:semiHidden/>
    <w:unhideWhenUsed/>
    <w:rsid w:val="0083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5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5434"/>
    <w:pPr>
      <w:ind w:left="720"/>
      <w:contextualSpacing/>
    </w:pPr>
  </w:style>
  <w:style w:type="table" w:styleId="Tabela-Siatka">
    <w:name w:val="Table Grid"/>
    <w:basedOn w:val="Standardowy"/>
    <w:uiPriority w:val="59"/>
    <w:rsid w:val="00F55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F559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5E5"/>
  </w:style>
  <w:style w:type="paragraph" w:styleId="Stopka">
    <w:name w:val="footer"/>
    <w:basedOn w:val="Normalny"/>
    <w:link w:val="StopkaZnak"/>
    <w:uiPriority w:val="99"/>
    <w:unhideWhenUsed/>
    <w:rsid w:val="00830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5E5"/>
  </w:style>
  <w:style w:type="paragraph" w:styleId="Tekstdymka">
    <w:name w:val="Balloon Text"/>
    <w:basedOn w:val="Normalny"/>
    <w:link w:val="TekstdymkaZnak"/>
    <w:uiPriority w:val="99"/>
    <w:semiHidden/>
    <w:unhideWhenUsed/>
    <w:rsid w:val="0083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5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5434"/>
    <w:pPr>
      <w:ind w:left="720"/>
      <w:contextualSpacing/>
    </w:pPr>
  </w:style>
  <w:style w:type="table" w:styleId="Tabela-Siatka">
    <w:name w:val="Table Grid"/>
    <w:basedOn w:val="Standardowy"/>
    <w:uiPriority w:val="59"/>
    <w:rsid w:val="00F55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F559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25260-6A40-45FB-9BC9-3F9FD009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solidarnosc2014</cp:lastModifiedBy>
  <cp:revision>2</cp:revision>
  <dcterms:created xsi:type="dcterms:W3CDTF">2018-10-29T13:26:00Z</dcterms:created>
  <dcterms:modified xsi:type="dcterms:W3CDTF">2018-10-29T13:26:00Z</dcterms:modified>
</cp:coreProperties>
</file>